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840F8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CONTROLE DO DOCUMENTO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  <w:insideH w:val="single" w:sz="4" w:space="0" w:color="B3B3B3"/>
          <w:insideV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8300"/>
      </w:tblGrid>
      <w:tr w:rsidR="00883F86" w14:paraId="68A69A28" w14:textId="77777777" w:rsidTr="00883F86">
        <w:tc>
          <w:tcPr>
            <w:tcW w:w="2000" w:type="dxa"/>
            <w:shd w:val="clear" w:color="auto" w:fill="auto"/>
          </w:tcPr>
          <w:p w14:paraId="10F11854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Produto</w:t>
            </w:r>
          </w:p>
        </w:tc>
        <w:tc>
          <w:tcPr>
            <w:tcW w:w="8300" w:type="dxa"/>
            <w:shd w:val="clear" w:color="auto" w:fill="auto"/>
          </w:tcPr>
          <w:p w14:paraId="0C3F04C4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Linx UX</w:t>
            </w:r>
          </w:p>
        </w:tc>
      </w:tr>
      <w:tr w:rsidR="00883F86" w14:paraId="7D9141B7" w14:textId="77777777" w:rsidTr="00883F86">
        <w:tc>
          <w:tcPr>
            <w:tcW w:w="2000" w:type="dxa"/>
            <w:shd w:val="clear" w:color="auto" w:fill="auto"/>
          </w:tcPr>
          <w:p w14:paraId="5A74F142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Versão</w:t>
            </w:r>
          </w:p>
        </w:tc>
        <w:tc>
          <w:tcPr>
            <w:tcW w:w="8300" w:type="dxa"/>
            <w:shd w:val="clear" w:color="auto" w:fill="auto"/>
          </w:tcPr>
          <w:p w14:paraId="53584D10" w14:textId="63F4FB2D" w:rsidR="00883F86" w:rsidRPr="00883F86" w:rsidRDefault="00091E62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Linx NeoX (UX) 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3</w:t>
            </w:r>
          </w:p>
        </w:tc>
      </w:tr>
      <w:tr w:rsidR="00883F86" w14:paraId="52FF9744" w14:textId="77777777" w:rsidTr="00883F86">
        <w:tc>
          <w:tcPr>
            <w:tcW w:w="2000" w:type="dxa"/>
            <w:shd w:val="clear" w:color="auto" w:fill="auto"/>
          </w:tcPr>
          <w:p w14:paraId="489300B1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Data</w:t>
            </w:r>
          </w:p>
        </w:tc>
        <w:tc>
          <w:tcPr>
            <w:tcW w:w="8300" w:type="dxa"/>
            <w:shd w:val="clear" w:color="auto" w:fill="auto"/>
          </w:tcPr>
          <w:p w14:paraId="4A8E5FD7" w14:textId="132C78D5" w:rsidR="00883F86" w:rsidRPr="00883F86" w:rsidRDefault="00B35F1B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  <w:r w:rsidR="00091E62">
              <w:rPr>
                <w:rFonts w:ascii="Arial" w:hAnsi="Arial" w:cs="Arial"/>
                <w:sz w:val="18"/>
              </w:rPr>
              <w:t>/</w:t>
            </w:r>
            <w:r w:rsidR="00754653">
              <w:rPr>
                <w:rFonts w:ascii="Arial" w:hAnsi="Arial" w:cs="Arial"/>
                <w:sz w:val="18"/>
              </w:rPr>
              <w:t>0</w:t>
            </w:r>
            <w:r w:rsidR="003F3AAC">
              <w:rPr>
                <w:rFonts w:ascii="Arial" w:hAnsi="Arial" w:cs="Arial"/>
                <w:sz w:val="18"/>
              </w:rPr>
              <w:t>9</w:t>
            </w:r>
            <w:r w:rsidR="00091E62">
              <w:rPr>
                <w:rFonts w:ascii="Arial" w:hAnsi="Arial" w:cs="Arial"/>
                <w:sz w:val="18"/>
              </w:rPr>
              <w:t>/202</w:t>
            </w:r>
            <w:r w:rsidR="00754653">
              <w:rPr>
                <w:rFonts w:ascii="Arial" w:hAnsi="Arial" w:cs="Arial"/>
                <w:sz w:val="18"/>
              </w:rPr>
              <w:t>4</w:t>
            </w:r>
          </w:p>
        </w:tc>
      </w:tr>
      <w:tr w:rsidR="00883F86" w14:paraId="233BEA9D" w14:textId="77777777" w:rsidTr="00883F86">
        <w:tc>
          <w:tcPr>
            <w:tcW w:w="2000" w:type="dxa"/>
            <w:shd w:val="clear" w:color="auto" w:fill="auto"/>
          </w:tcPr>
          <w:p w14:paraId="325AF594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Autor</w:t>
            </w:r>
          </w:p>
        </w:tc>
        <w:tc>
          <w:tcPr>
            <w:tcW w:w="8300" w:type="dxa"/>
            <w:shd w:val="clear" w:color="auto" w:fill="auto"/>
          </w:tcPr>
          <w:p w14:paraId="668BFB7D" w14:textId="68791E37" w:rsidR="00883F86" w:rsidRPr="00883F86" w:rsidRDefault="00754653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Janderson Cardoso</w:t>
            </w:r>
          </w:p>
        </w:tc>
      </w:tr>
    </w:tbl>
    <w:p w14:paraId="4CA45AB5" w14:textId="77777777" w:rsidR="00883F86" w:rsidRDefault="00883F86">
      <w:pPr>
        <w:rPr>
          <w:rFonts w:ascii="Arial" w:hAnsi="Arial" w:cs="Arial"/>
          <w:b/>
          <w:sz w:val="24"/>
        </w:rPr>
      </w:pPr>
    </w:p>
    <w:p w14:paraId="5838AB24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PRÉ-REQUISITO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0"/>
      </w:tblGrid>
      <w:tr w:rsidR="00883F86" w14:paraId="59C403DF" w14:textId="77777777" w:rsidTr="00883F86">
        <w:tc>
          <w:tcPr>
            <w:tcW w:w="10300" w:type="dxa"/>
            <w:shd w:val="clear" w:color="auto" w:fill="auto"/>
          </w:tcPr>
          <w:p w14:paraId="110A78AB" w14:textId="06C9052C" w:rsidR="00883F86" w:rsidRPr="00883F86" w:rsidRDefault="00E04542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Linx NeoX (UX) (3.12.1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4FD5745A" w14:textId="77777777" w:rsidR="00883F86" w:rsidRDefault="00883F86">
      <w:pPr>
        <w:rPr>
          <w:rFonts w:ascii="Arial" w:hAnsi="Arial" w:cs="Arial"/>
          <w:b/>
          <w:sz w:val="24"/>
        </w:rPr>
      </w:pPr>
    </w:p>
    <w:p w14:paraId="4ADD8194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DEFINIÇÃO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  <w:insideH w:val="single" w:sz="4" w:space="0" w:color="B3B3B3"/>
          <w:insideV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8300"/>
      </w:tblGrid>
      <w:tr w:rsidR="00883F86" w14:paraId="752C1B55" w14:textId="77777777" w:rsidTr="00883F86">
        <w:tc>
          <w:tcPr>
            <w:tcW w:w="2000" w:type="dxa"/>
            <w:shd w:val="clear" w:color="auto" w:fill="auto"/>
          </w:tcPr>
          <w:p w14:paraId="2EC0DF49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color w:val="FF0000"/>
                <w:sz w:val="18"/>
              </w:rPr>
            </w:pP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@TFS</w:t>
            </w:r>
          </w:p>
        </w:tc>
        <w:tc>
          <w:tcPr>
            <w:tcW w:w="8300" w:type="dxa"/>
            <w:shd w:val="clear" w:color="auto" w:fill="auto"/>
          </w:tcPr>
          <w:p w14:paraId="3842C92A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$ \ TFS \ Fenix \ Deploy \ Linx UX</w:t>
            </w:r>
          </w:p>
        </w:tc>
      </w:tr>
      <w:tr w:rsidR="00883F86" w14:paraId="75D1BE03" w14:textId="77777777" w:rsidTr="00883F86">
        <w:tc>
          <w:tcPr>
            <w:tcW w:w="2000" w:type="dxa"/>
            <w:shd w:val="clear" w:color="auto" w:fill="auto"/>
          </w:tcPr>
          <w:p w14:paraId="38218C3B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color w:val="FF0000"/>
                <w:sz w:val="18"/>
              </w:rPr>
            </w:pP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</w:p>
        </w:tc>
        <w:tc>
          <w:tcPr>
            <w:tcW w:w="8300" w:type="dxa"/>
            <w:shd w:val="clear" w:color="auto" w:fill="auto"/>
          </w:tcPr>
          <w:p w14:paraId="7A0D931D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Servidor do ambiente onde encontra-se o Linx UX configurado.</w:t>
            </w:r>
          </w:p>
        </w:tc>
      </w:tr>
      <w:tr w:rsidR="00883F86" w14:paraId="1A004D80" w14:textId="77777777" w:rsidTr="00883F86">
        <w:tc>
          <w:tcPr>
            <w:tcW w:w="2000" w:type="dxa"/>
            <w:shd w:val="clear" w:color="auto" w:fill="auto"/>
          </w:tcPr>
          <w:p w14:paraId="0A736A4F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color w:val="FF0000"/>
                <w:sz w:val="18"/>
              </w:rPr>
            </w:pP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</w:p>
        </w:tc>
        <w:tc>
          <w:tcPr>
            <w:tcW w:w="8300" w:type="dxa"/>
            <w:shd w:val="clear" w:color="auto" w:fill="auto"/>
          </w:tcPr>
          <w:p w14:paraId="08C21DDD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Unidade do diretório onde encontra-se o Linx UX configurado.</w:t>
            </w:r>
          </w:p>
        </w:tc>
      </w:tr>
      <w:tr w:rsidR="00883F86" w14:paraId="4A0CE585" w14:textId="77777777" w:rsidTr="00883F86">
        <w:tc>
          <w:tcPr>
            <w:tcW w:w="2000" w:type="dxa"/>
            <w:shd w:val="clear" w:color="auto" w:fill="auto"/>
          </w:tcPr>
          <w:p w14:paraId="18A9F368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color w:val="FF0000"/>
                <w:sz w:val="18"/>
              </w:rPr>
            </w:pP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@Data</w:t>
            </w:r>
          </w:p>
        </w:tc>
        <w:tc>
          <w:tcPr>
            <w:tcW w:w="8300" w:type="dxa"/>
            <w:shd w:val="clear" w:color="auto" w:fill="auto"/>
          </w:tcPr>
          <w:p w14:paraId="4AEB9055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Data do backup e no formato [aaammdd].</w:t>
            </w:r>
          </w:p>
        </w:tc>
      </w:tr>
    </w:tbl>
    <w:p w14:paraId="6BCDF495" w14:textId="77777777" w:rsidR="00883F86" w:rsidRDefault="00883F86">
      <w:pPr>
        <w:rPr>
          <w:rFonts w:ascii="Arial" w:hAnsi="Arial" w:cs="Arial"/>
          <w:b/>
          <w:sz w:val="24"/>
        </w:rPr>
      </w:pPr>
    </w:p>
    <w:p w14:paraId="572CED17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BANCO DE DADOS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  <w:insideH w:val="single" w:sz="4" w:space="0" w:color="B3B3B3"/>
          <w:insideV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8300"/>
      </w:tblGrid>
      <w:tr w:rsidR="00883F86" w14:paraId="11D7EB1A" w14:textId="77777777" w:rsidTr="00883F86">
        <w:tc>
          <w:tcPr>
            <w:tcW w:w="2000" w:type="dxa"/>
            <w:shd w:val="clear" w:color="auto" w:fill="auto"/>
            <w:vAlign w:val="center"/>
          </w:tcPr>
          <w:p w14:paraId="71907A06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Ação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4EA61CE2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 Parar o IIS para todos os sites da aplicação Linx UX.</w:t>
            </w:r>
          </w:p>
          <w:p w14:paraId="55AEE8BC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2. Extrair e executar o script no banco de dados do ambiente necessário: </w:t>
            </w:r>
          </w:p>
          <w:p w14:paraId="32235DF2" w14:textId="15B44874" w:rsidR="00883F86" w:rsidRPr="00883F86" w:rsidRDefault="00883F86" w:rsidP="008643FC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2.1.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@TFS</w:t>
            </w:r>
            <w:r>
              <w:rPr>
                <w:rFonts w:ascii="Arial" w:hAnsi="Arial" w:cs="Arial"/>
                <w:sz w:val="18"/>
              </w:rPr>
              <w:t>] \ Fênix - Deploy - Linx UX (Linx NeoX (UX) 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).zip \ Script SQL - Linx UX (Linx NeoX (UX) 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).sql</w:t>
            </w:r>
          </w:p>
        </w:tc>
      </w:tr>
      <w:tr w:rsidR="00883F86" w14:paraId="5808B121" w14:textId="77777777" w:rsidTr="00883F86">
        <w:tc>
          <w:tcPr>
            <w:tcW w:w="2000" w:type="dxa"/>
            <w:shd w:val="clear" w:color="auto" w:fill="auto"/>
            <w:vAlign w:val="center"/>
          </w:tcPr>
          <w:p w14:paraId="23630449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Retorno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28A83512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Restaurar o backup realizado do banco de dados.</w:t>
            </w:r>
          </w:p>
        </w:tc>
      </w:tr>
      <w:tr w:rsidR="00883F86" w14:paraId="665DEA0D" w14:textId="77777777" w:rsidTr="00883F86">
        <w:tc>
          <w:tcPr>
            <w:tcW w:w="2000" w:type="dxa"/>
            <w:shd w:val="clear" w:color="auto" w:fill="auto"/>
            <w:vAlign w:val="center"/>
          </w:tcPr>
          <w:p w14:paraId="608024AA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Validação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2F0B7A41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Verificar se houve ocorrência de erro no final da execução.</w:t>
            </w:r>
          </w:p>
        </w:tc>
      </w:tr>
    </w:tbl>
    <w:p w14:paraId="3BE8D7C7" w14:textId="77777777" w:rsidR="00883F86" w:rsidRDefault="00883F86">
      <w:pPr>
        <w:rPr>
          <w:rFonts w:ascii="Arial" w:hAnsi="Arial" w:cs="Arial"/>
          <w:b/>
          <w:sz w:val="24"/>
        </w:rPr>
      </w:pPr>
    </w:p>
    <w:p w14:paraId="6EAACC13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PORTAL / APLICAÇÃO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  <w:insideH w:val="single" w:sz="4" w:space="0" w:color="B3B3B3"/>
          <w:insideV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8300"/>
      </w:tblGrid>
      <w:tr w:rsidR="00883F86" w14:paraId="3FB0F367" w14:textId="77777777" w:rsidTr="00883F86">
        <w:tc>
          <w:tcPr>
            <w:tcW w:w="2000" w:type="dxa"/>
            <w:shd w:val="clear" w:color="auto" w:fill="auto"/>
            <w:vAlign w:val="center"/>
          </w:tcPr>
          <w:p w14:paraId="2963EC7D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Ação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79744D5A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1. Realizar backup do conteúdo conforme o procedimento abaixo: </w:t>
            </w:r>
          </w:p>
          <w:p w14:paraId="7DC85CA5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 xml:space="preserve">] \ LinxUX \ ... </w:t>
            </w:r>
          </w:p>
          <w:p w14:paraId="0A9715F6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>] \ Linx Backup \ Linx UX -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@Data</w:t>
            </w:r>
            <w:r>
              <w:rPr>
                <w:rFonts w:ascii="Arial" w:hAnsi="Arial" w:cs="Arial"/>
                <w:sz w:val="18"/>
              </w:rPr>
              <w:t xml:space="preserve">] \ </w:t>
            </w:r>
          </w:p>
          <w:p w14:paraId="6132471F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2. Copiar o conteúdo conforme o procedimento abaixo: </w:t>
            </w:r>
          </w:p>
          <w:p w14:paraId="60DF5869" w14:textId="469FD6AF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2.1.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@TFS</w:t>
            </w:r>
            <w:r>
              <w:rPr>
                <w:rFonts w:ascii="Arial" w:hAnsi="Arial" w:cs="Arial"/>
                <w:sz w:val="18"/>
              </w:rPr>
              <w:t xml:space="preserve">] \ Fênix - Deploy - Linx UX (Linx NeoX (UX) </w:t>
            </w:r>
            <w:proofErr w:type="gramStart"/>
            <w:r>
              <w:rPr>
                <w:rFonts w:ascii="Arial" w:hAnsi="Arial" w:cs="Arial"/>
                <w:sz w:val="18"/>
              </w:rPr>
              <w:t>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)_Web.zip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\ Application \ … </w:t>
            </w:r>
          </w:p>
          <w:p w14:paraId="734FA06A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2.2.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 xml:space="preserve">] \ LinxUX \ Application \ </w:t>
            </w:r>
          </w:p>
          <w:p w14:paraId="50C9EE67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3. Reiniciar o AppFabric (restart-cachecluster) </w:t>
            </w:r>
          </w:p>
          <w:p w14:paraId="6DCBD4D5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4. Reiniciar o IIS (iisreset) </w:t>
            </w:r>
          </w:p>
        </w:tc>
      </w:tr>
      <w:tr w:rsidR="00883F86" w14:paraId="33AFF157" w14:textId="77777777" w:rsidTr="00883F86">
        <w:tc>
          <w:tcPr>
            <w:tcW w:w="2000" w:type="dxa"/>
            <w:shd w:val="clear" w:color="auto" w:fill="auto"/>
            <w:vAlign w:val="center"/>
          </w:tcPr>
          <w:p w14:paraId="0276925C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Retorno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19D98208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1. Em caso de erros, restaurar o conteúdo do Backup realizado no Plano de Ação </w:t>
            </w:r>
          </w:p>
          <w:p w14:paraId="485E1FA3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>] \ Linx UX -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@Data</w:t>
            </w:r>
            <w:r>
              <w:rPr>
                <w:rFonts w:ascii="Arial" w:hAnsi="Arial" w:cs="Arial"/>
                <w:sz w:val="18"/>
              </w:rPr>
              <w:t xml:space="preserve">] \ ... </w:t>
            </w:r>
          </w:p>
          <w:p w14:paraId="5DF07991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 xml:space="preserve">] \ LinxUX \ </w:t>
            </w:r>
          </w:p>
          <w:p w14:paraId="6D74A935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2. Reiniciar o AppFabric (restart-cachecluster) </w:t>
            </w:r>
          </w:p>
          <w:p w14:paraId="2F8C47EC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 Reiniciar o IIS (iisreset)</w:t>
            </w:r>
          </w:p>
        </w:tc>
      </w:tr>
    </w:tbl>
    <w:p w14:paraId="7FCA70D1" w14:textId="77777777" w:rsidR="00883F86" w:rsidRDefault="00883F86">
      <w:pPr>
        <w:rPr>
          <w:rFonts w:ascii="Arial" w:hAnsi="Arial" w:cs="Arial"/>
          <w:b/>
          <w:sz w:val="24"/>
        </w:rPr>
      </w:pPr>
    </w:p>
    <w:p w14:paraId="1456F671" w14:textId="77777777" w:rsidR="00405F6C" w:rsidRDefault="00405F6C">
      <w:pPr>
        <w:rPr>
          <w:rFonts w:ascii="Arial" w:hAnsi="Arial" w:cs="Arial"/>
          <w:b/>
          <w:sz w:val="24"/>
        </w:rPr>
      </w:pPr>
    </w:p>
    <w:p w14:paraId="673911E8" w14:textId="77777777" w:rsidR="00883F86" w:rsidRDefault="00883F86">
      <w:pPr>
        <w:rPr>
          <w:rFonts w:ascii="Arial" w:hAnsi="Arial" w:cs="Arial"/>
          <w:b/>
          <w:sz w:val="24"/>
        </w:rPr>
      </w:pPr>
      <w:r w:rsidRPr="00883F86">
        <w:rPr>
          <w:rFonts w:ascii="Arial" w:hAnsi="Arial" w:cs="Arial"/>
          <w:b/>
          <w:sz w:val="24"/>
        </w:rPr>
        <w:t>SERVICE</w:t>
      </w:r>
    </w:p>
    <w:tbl>
      <w:tblPr>
        <w:tblW w:w="0" w:type="auto"/>
        <w:tblInd w:w="-5" w:type="dxa"/>
        <w:tblBorders>
          <w:top w:val="single" w:sz="4" w:space="0" w:color="B3B3B3"/>
          <w:left w:val="single" w:sz="4" w:space="0" w:color="B3B3B3"/>
          <w:bottom w:val="single" w:sz="4" w:space="0" w:color="B3B3B3"/>
          <w:right w:val="single" w:sz="4" w:space="0" w:color="B3B3B3"/>
          <w:insideH w:val="single" w:sz="4" w:space="0" w:color="B3B3B3"/>
          <w:insideV w:val="single" w:sz="4" w:space="0" w:color="B3B3B3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8300"/>
      </w:tblGrid>
      <w:tr w:rsidR="00883F86" w14:paraId="263550A2" w14:textId="77777777" w:rsidTr="00883F86">
        <w:tc>
          <w:tcPr>
            <w:tcW w:w="2000" w:type="dxa"/>
            <w:shd w:val="clear" w:color="auto" w:fill="auto"/>
            <w:vAlign w:val="center"/>
          </w:tcPr>
          <w:p w14:paraId="1370EEB7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Ação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6E829880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1. Realizar backup do conteúdo conforme o procedimento abaixo: </w:t>
            </w:r>
          </w:p>
          <w:p w14:paraId="23216548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@TFS</w:t>
            </w:r>
            <w:r>
              <w:rPr>
                <w:rFonts w:ascii="Arial" w:hAnsi="Arial" w:cs="Arial"/>
                <w:sz w:val="18"/>
              </w:rPr>
              <w:t xml:space="preserve">] \ LinxUX \ ... </w:t>
            </w:r>
          </w:p>
          <w:p w14:paraId="53373B85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>] \ Linx Backup \ Linx UX -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@Data</w:t>
            </w:r>
            <w:r>
              <w:rPr>
                <w:rFonts w:ascii="Arial" w:hAnsi="Arial" w:cs="Arial"/>
                <w:sz w:val="18"/>
              </w:rPr>
              <w:t xml:space="preserve">] \ </w:t>
            </w:r>
          </w:p>
          <w:p w14:paraId="08F33848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2. Copiar o conteúdo conforme o procedimento abaixo: </w:t>
            </w:r>
          </w:p>
          <w:p w14:paraId="75C2E943" w14:textId="645878C6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2.1.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@TFS</w:t>
            </w:r>
            <w:r>
              <w:rPr>
                <w:rFonts w:ascii="Arial" w:hAnsi="Arial" w:cs="Arial"/>
                <w:sz w:val="18"/>
              </w:rPr>
              <w:t xml:space="preserve">] \ Fênix - Deploy - Linx UX (Linx NeoX (UX) </w:t>
            </w:r>
            <w:proofErr w:type="gramStart"/>
            <w:r>
              <w:rPr>
                <w:rFonts w:ascii="Arial" w:hAnsi="Arial" w:cs="Arial"/>
                <w:sz w:val="18"/>
              </w:rPr>
              <w:t>3.12.1</w:t>
            </w:r>
            <w:r w:rsidR="00C44D8A">
              <w:rPr>
                <w:rFonts w:ascii="Arial" w:hAnsi="Arial" w:cs="Arial"/>
                <w:sz w:val="18"/>
              </w:rPr>
              <w:t>3</w:t>
            </w:r>
            <w:r w:rsidR="003F3AAC">
              <w:rPr>
                <w:rFonts w:ascii="Arial" w:hAnsi="Arial" w:cs="Arial"/>
                <w:sz w:val="18"/>
              </w:rPr>
              <w:t>1.</w:t>
            </w:r>
            <w:r w:rsidR="00B35F1B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)_Web.zip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\ Service \ … </w:t>
            </w:r>
          </w:p>
          <w:p w14:paraId="517B97A4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2.2.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 xml:space="preserve">] \ LinxUX \ Service \ </w:t>
            </w:r>
          </w:p>
          <w:p w14:paraId="0D75426D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3. Reiniciar o AppFabric (restart-cachecluster) </w:t>
            </w:r>
          </w:p>
          <w:p w14:paraId="66820CE3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4. Reiniciar o IIS (iisreset) </w:t>
            </w:r>
          </w:p>
        </w:tc>
      </w:tr>
      <w:tr w:rsidR="00883F86" w14:paraId="6E8B52E3" w14:textId="77777777" w:rsidTr="00883F86">
        <w:tc>
          <w:tcPr>
            <w:tcW w:w="2000" w:type="dxa"/>
            <w:shd w:val="clear" w:color="auto" w:fill="auto"/>
            <w:vAlign w:val="center"/>
          </w:tcPr>
          <w:p w14:paraId="66632D77" w14:textId="77777777" w:rsidR="00883F86" w:rsidRPr="00883F86" w:rsidRDefault="00883F86" w:rsidP="00883F86">
            <w:pPr>
              <w:spacing w:before="80" w:after="2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Plano de Retorno</w:t>
            </w:r>
          </w:p>
        </w:tc>
        <w:tc>
          <w:tcPr>
            <w:tcW w:w="8300" w:type="dxa"/>
            <w:shd w:val="clear" w:color="auto" w:fill="auto"/>
            <w:vAlign w:val="center"/>
          </w:tcPr>
          <w:p w14:paraId="05D42D8A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1. Em caso de erros, restaurar o conteúdo do Backup realizado no Plano de Ação </w:t>
            </w:r>
          </w:p>
          <w:p w14:paraId="37E3AB8C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1.1. ORIGEM: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>] \ Linx UX -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@Data</w:t>
            </w:r>
            <w:r>
              <w:rPr>
                <w:rFonts w:ascii="Arial" w:hAnsi="Arial" w:cs="Arial"/>
                <w:sz w:val="18"/>
              </w:rPr>
              <w:t xml:space="preserve">] \ ... </w:t>
            </w:r>
          </w:p>
          <w:p w14:paraId="3438FE57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1.2. DESTINO: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@Servidor</w:t>
            </w:r>
            <w:r>
              <w:rPr>
                <w:rFonts w:ascii="Arial" w:hAnsi="Arial" w:cs="Arial"/>
                <w:sz w:val="18"/>
              </w:rPr>
              <w:t>] \ [</w:t>
            </w:r>
            <w:r w:rsidRPr="00883F86">
              <w:rPr>
                <w:rFonts w:ascii="Arial" w:hAnsi="Arial" w:cs="Arial"/>
                <w:b/>
                <w:color w:val="FF0000"/>
                <w:sz w:val="18"/>
              </w:rPr>
              <w:t>@Unidade</w:t>
            </w:r>
            <w:r>
              <w:rPr>
                <w:rFonts w:ascii="Arial" w:hAnsi="Arial" w:cs="Arial"/>
                <w:sz w:val="18"/>
              </w:rPr>
              <w:t xml:space="preserve">] \ LinxUX \ </w:t>
            </w:r>
          </w:p>
          <w:p w14:paraId="09821957" w14:textId="77777777" w:rsid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2. Reiniciar o AppFabric (restart-cachecluster) </w:t>
            </w:r>
          </w:p>
          <w:p w14:paraId="5F12C7E4" w14:textId="77777777" w:rsidR="00883F86" w:rsidRPr="00883F86" w:rsidRDefault="00883F86" w:rsidP="00883F86">
            <w:pPr>
              <w:spacing w:before="80" w:after="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3. Reiniciar o IIS (iisreset) </w:t>
            </w:r>
          </w:p>
        </w:tc>
      </w:tr>
    </w:tbl>
    <w:p w14:paraId="71F7BF3B" w14:textId="77777777" w:rsidR="00883F86" w:rsidRPr="00883F86" w:rsidRDefault="00883F86">
      <w:pPr>
        <w:rPr>
          <w:rFonts w:ascii="Arial" w:hAnsi="Arial" w:cs="Arial"/>
          <w:b/>
          <w:sz w:val="24"/>
        </w:rPr>
      </w:pPr>
    </w:p>
    <w:sectPr w:rsidR="00883F86" w:rsidRPr="00883F86" w:rsidSect="000F24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800" w:right="800" w:bottom="800" w:left="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49097" w14:textId="77777777" w:rsidR="008B44DF" w:rsidRDefault="008B44DF" w:rsidP="00883F86">
      <w:pPr>
        <w:spacing w:after="0" w:line="240" w:lineRule="auto"/>
      </w:pPr>
      <w:r>
        <w:separator/>
      </w:r>
    </w:p>
  </w:endnote>
  <w:endnote w:type="continuationSeparator" w:id="0">
    <w:p w14:paraId="6271F2D8" w14:textId="77777777" w:rsidR="008B44DF" w:rsidRDefault="008B44DF" w:rsidP="0088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B7977" w14:textId="77777777" w:rsidR="00883F86" w:rsidRDefault="00883F8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F3434" w14:textId="77777777" w:rsidR="00883F86" w:rsidRDefault="00883F8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22BC5" w14:textId="77777777" w:rsidR="00883F86" w:rsidRDefault="00883F8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C514E" w14:textId="77777777" w:rsidR="008B44DF" w:rsidRDefault="008B44DF" w:rsidP="00883F86">
      <w:pPr>
        <w:spacing w:after="0" w:line="240" w:lineRule="auto"/>
      </w:pPr>
      <w:r>
        <w:separator/>
      </w:r>
    </w:p>
  </w:footnote>
  <w:footnote w:type="continuationSeparator" w:id="0">
    <w:p w14:paraId="19708F6B" w14:textId="77777777" w:rsidR="008B44DF" w:rsidRDefault="008B44DF" w:rsidP="0088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27321" w14:textId="77777777" w:rsidR="00883F86" w:rsidRDefault="00883F8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53"/>
      <w:gridCol w:w="5154"/>
    </w:tblGrid>
    <w:tr w:rsidR="00883F86" w14:paraId="4F27DFA6" w14:textId="77777777" w:rsidTr="00883F86">
      <w:trPr>
        <w:trHeight w:val="880"/>
      </w:trPr>
      <w:tc>
        <w:tcPr>
          <w:tcW w:w="5153" w:type="dxa"/>
          <w:tcBorders>
            <w:bottom w:val="single" w:sz="4" w:space="0" w:color="999999"/>
          </w:tcBorders>
          <w:shd w:val="clear" w:color="auto" w:fill="auto"/>
          <w:vAlign w:val="bottom"/>
        </w:tcPr>
        <w:p w14:paraId="34CB7A7C" w14:textId="77777777" w:rsidR="00883F86" w:rsidRPr="00883F86" w:rsidRDefault="00883F86" w:rsidP="00883F86">
          <w:pPr>
            <w:pStyle w:val="Cabealho"/>
            <w:rPr>
              <w:rFonts w:ascii="Arial" w:hAnsi="Arial" w:cs="Arial"/>
              <w:sz w:val="20"/>
            </w:rPr>
          </w:pPr>
          <w:r w:rsidRPr="00883F86">
            <w:rPr>
              <w:rFonts w:ascii="Arial" w:hAnsi="Arial" w:cs="Arial"/>
              <w:sz w:val="20"/>
            </w:rPr>
            <w:t>Linx UX - Setup</w:t>
          </w:r>
        </w:p>
      </w:tc>
      <w:tc>
        <w:tcPr>
          <w:tcW w:w="5154" w:type="dxa"/>
          <w:tcBorders>
            <w:bottom w:val="single" w:sz="4" w:space="0" w:color="999999"/>
          </w:tcBorders>
          <w:shd w:val="clear" w:color="auto" w:fill="auto"/>
        </w:tcPr>
        <w:p w14:paraId="7D26A8D5" w14:textId="77777777" w:rsidR="00883F86" w:rsidRDefault="00883F86" w:rsidP="00883F86">
          <w:pPr>
            <w:pStyle w:val="Cabealho"/>
            <w:jc w:val="right"/>
          </w:pPr>
          <w:r>
            <w:rPr>
              <w:noProof/>
              <w:lang w:eastAsia="pt-BR"/>
            </w:rPr>
            <w:drawing>
              <wp:inline distT="0" distB="0" distL="0" distR="0" wp14:anchorId="1C01F77B" wp14:editId="127FE435">
                <wp:extent cx="1238095" cy="714286"/>
                <wp:effectExtent l="0" t="0" r="635" b="0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095" cy="71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7BBCF47" w14:textId="77777777" w:rsidR="00883F86" w:rsidRDefault="00883F8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D363D" w14:textId="77777777" w:rsidR="00883F86" w:rsidRDefault="00883F8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F86"/>
    <w:rsid w:val="0000412A"/>
    <w:rsid w:val="00041F28"/>
    <w:rsid w:val="00091E62"/>
    <w:rsid w:val="000F249E"/>
    <w:rsid w:val="001B67F5"/>
    <w:rsid w:val="001C2247"/>
    <w:rsid w:val="001C2B17"/>
    <w:rsid w:val="001E53BD"/>
    <w:rsid w:val="0024197E"/>
    <w:rsid w:val="00274692"/>
    <w:rsid w:val="002D2C0A"/>
    <w:rsid w:val="003037DF"/>
    <w:rsid w:val="00334AFC"/>
    <w:rsid w:val="00337807"/>
    <w:rsid w:val="003F3AAC"/>
    <w:rsid w:val="00405F6C"/>
    <w:rsid w:val="004B044A"/>
    <w:rsid w:val="004E7A8D"/>
    <w:rsid w:val="00627D1C"/>
    <w:rsid w:val="006609FA"/>
    <w:rsid w:val="006F0223"/>
    <w:rsid w:val="00754653"/>
    <w:rsid w:val="00781668"/>
    <w:rsid w:val="007E71D6"/>
    <w:rsid w:val="008523FA"/>
    <w:rsid w:val="008643FC"/>
    <w:rsid w:val="00883F86"/>
    <w:rsid w:val="008871CC"/>
    <w:rsid w:val="008B44DF"/>
    <w:rsid w:val="009171EB"/>
    <w:rsid w:val="009551C9"/>
    <w:rsid w:val="009B376B"/>
    <w:rsid w:val="009D3682"/>
    <w:rsid w:val="00A80E8B"/>
    <w:rsid w:val="00AA49DD"/>
    <w:rsid w:val="00B21566"/>
    <w:rsid w:val="00B340B5"/>
    <w:rsid w:val="00B35340"/>
    <w:rsid w:val="00B35F1B"/>
    <w:rsid w:val="00B72559"/>
    <w:rsid w:val="00BA68E8"/>
    <w:rsid w:val="00C23C00"/>
    <w:rsid w:val="00C44D8A"/>
    <w:rsid w:val="00C90C66"/>
    <w:rsid w:val="00CA7987"/>
    <w:rsid w:val="00D1328D"/>
    <w:rsid w:val="00D575F8"/>
    <w:rsid w:val="00E0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58CA"/>
  <w15:chartTrackingRefBased/>
  <w15:docId w15:val="{7481A92C-CF1D-46B9-91D6-B9C9E212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3F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3F86"/>
  </w:style>
  <w:style w:type="paragraph" w:styleId="Rodap">
    <w:name w:val="footer"/>
    <w:basedOn w:val="Normal"/>
    <w:link w:val="RodapChar"/>
    <w:uiPriority w:val="99"/>
    <w:unhideWhenUsed/>
    <w:rsid w:val="00883F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9C093622D7E46A89E327F69B120F7" ma:contentTypeVersion="7" ma:contentTypeDescription="Create a new document." ma:contentTypeScope="" ma:versionID="611fa44b7aec0f8f2686822ae1e526d5">
  <xsd:schema xmlns:xsd="http://www.w3.org/2001/XMLSchema" xmlns:xs="http://www.w3.org/2001/XMLSchema" xmlns:p="http://schemas.microsoft.com/office/2006/metadata/properties" xmlns:ns2="47dfff90-50af-48d8-97db-cb93ec2e37ff" xmlns:ns3="faee75bc-2e32-45d8-abe7-e0deb82c779c" xmlns:ns4="0d0f6ff5-0cd3-4d70-ae65-236403a17e9b" targetNamespace="http://schemas.microsoft.com/office/2006/metadata/properties" ma:root="true" ma:fieldsID="98796d9250f81cf7f31aa05c9a3b005a" ns2:_="" ns3:_="" ns4:_="">
    <xsd:import namespace="47dfff90-50af-48d8-97db-cb93ec2e37ff"/>
    <xsd:import namespace="faee75bc-2e32-45d8-abe7-e0deb82c779c"/>
    <xsd:import namespace="0d0f6ff5-0cd3-4d70-ae65-236403a17e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fff90-50af-48d8-97db-cb93ec2e37ff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ee75bc-2e32-45d8-abe7-e0deb82c779c" elementFormDefault="qualified">
    <xsd:import namespace="http://schemas.microsoft.com/office/2006/documentManagement/types"/>
    <xsd:import namespace="http://schemas.microsoft.com/office/infopath/2007/PartnerControls"/>
    <xsd:element name="SharingHintHash" ma:index="5" nillable="true" ma:displayName="Sharing Hint Hash" ma:internalName="SharingHintHash" ma:readOnly="true">
      <xsd:simpleType>
        <xsd:restriction base="dms:Text"/>
      </xsd:simpleType>
    </xsd:element>
    <xsd:element name="SharedWithDetails" ma:index="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f6ff5-0cd3-4d70-ae65-236403a17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00CA47-73B9-4D4A-97BF-3E67D842A3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1DEC4-51A8-4D70-A1CE-A9EC7236E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fff90-50af-48d8-97db-cb93ec2e37ff"/>
    <ds:schemaRef ds:uri="faee75bc-2e32-45d8-abe7-e0deb82c779c"/>
    <ds:schemaRef ds:uri="0d0f6ff5-0cd3-4d70-ae65-236403a17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361F27-32C4-44E9-927A-4DBF76889B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Leticia de Lima Carvalho</dc:creator>
  <cp:keywords/>
  <dc:description/>
  <cp:lastModifiedBy>Janderson Cardoso</cp:lastModifiedBy>
  <cp:revision>11</cp:revision>
  <dcterms:created xsi:type="dcterms:W3CDTF">2019-06-13T15:09:00Z</dcterms:created>
  <dcterms:modified xsi:type="dcterms:W3CDTF">2024-09-23T18:36:00Z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0x010100AAA9C093622D7E46A89E327F69B120F7</vt:lpwstr>
  </property>
</Properties>
</file>